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2" w:rsidRPr="00245112" w:rsidRDefault="00245112" w:rsidP="00566991">
      <w:pPr>
        <w:spacing w:line="200" w:lineRule="exact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5112">
        <w:rPr>
          <w:b/>
          <w:sz w:val="20"/>
          <w:szCs w:val="20"/>
        </w:rPr>
        <w:t>Bijlage 2</w:t>
      </w:r>
    </w:p>
    <w:p w:rsidR="00245112" w:rsidRDefault="00245112" w:rsidP="00566991">
      <w:pPr>
        <w:spacing w:line="200" w:lineRule="exact"/>
        <w:rPr>
          <w:b/>
          <w:sz w:val="28"/>
          <w:szCs w:val="28"/>
        </w:rPr>
      </w:pPr>
    </w:p>
    <w:p w:rsidR="00566991" w:rsidRDefault="00566991" w:rsidP="00566991">
      <w:pPr>
        <w:spacing w:line="200" w:lineRule="exact"/>
        <w:rPr>
          <w:b/>
          <w:sz w:val="28"/>
          <w:szCs w:val="28"/>
        </w:rPr>
      </w:pPr>
      <w:r w:rsidRPr="00374171">
        <w:rPr>
          <w:b/>
          <w:sz w:val="28"/>
          <w:szCs w:val="28"/>
        </w:rPr>
        <w:t>Beleggingsplan</w:t>
      </w:r>
    </w:p>
    <w:p w:rsidR="00566991" w:rsidRPr="00702DB3" w:rsidRDefault="00566991" w:rsidP="00566991">
      <w:pPr>
        <w:spacing w:after="0" w:line="200" w:lineRule="exact"/>
        <w:rPr>
          <w:b/>
          <w:i/>
        </w:rPr>
      </w:pPr>
      <w:r w:rsidRPr="00702DB3">
        <w:rPr>
          <w:b/>
          <w:i/>
        </w:rPr>
        <w:t>Algemeen</w:t>
      </w:r>
    </w:p>
    <w:p w:rsidR="00566991" w:rsidRDefault="00566991" w:rsidP="00566991">
      <w:pPr>
        <w:spacing w:after="0" w:line="200" w:lineRule="exact"/>
      </w:pPr>
      <w:r w:rsidRPr="00C005DB">
        <w:t>S</w:t>
      </w:r>
      <w:r>
        <w:t>tichting het Voormalig Gast- en Weeshuis</w:t>
      </w:r>
      <w:r w:rsidRPr="00C005DB">
        <w:t xml:space="preserve"> (hierna: de Stich</w:t>
      </w:r>
      <w:r w:rsidR="00122958">
        <w:t>ting) heeft</w:t>
      </w:r>
      <w:r w:rsidR="00814128">
        <w:t>,</w:t>
      </w:r>
      <w:r w:rsidR="00122958">
        <w:t xml:space="preserve"> </w:t>
      </w:r>
      <w:r w:rsidR="00814128">
        <w:t xml:space="preserve">naast onroerend goed en banktegoeden, </w:t>
      </w:r>
      <w:r w:rsidR="00122958">
        <w:t xml:space="preserve">middelen welke worden </w:t>
      </w:r>
      <w:r w:rsidRPr="00C005DB">
        <w:t>aangewend</w:t>
      </w:r>
      <w:r>
        <w:t xml:space="preserve"> v</w:t>
      </w:r>
      <w:r w:rsidRPr="00C005DB">
        <w:t>oor de statutair vastgelegde doelen. Het bestuur wenst de toevertrouwde middelen op</w:t>
      </w:r>
      <w:r>
        <w:t xml:space="preserve"> </w:t>
      </w:r>
      <w:r w:rsidRPr="00C005DB">
        <w:t>korte en op lange termijn verantwoord en solide te beleggen. Terwijl het (direct) rendement</w:t>
      </w:r>
      <w:r>
        <w:t xml:space="preserve"> </w:t>
      </w:r>
      <w:r w:rsidRPr="00C005DB">
        <w:t>op de portefeuille een hoge prioriteit heeft, staan het defensieve karakter van het</w:t>
      </w:r>
      <w:r w:rsidR="00814128">
        <w:t xml:space="preserve"> </w:t>
      </w:r>
      <w:r w:rsidRPr="00C005DB">
        <w:t>beleggingsbeleid en een voorzichtige afweging van risico en rendement eveneens voorop.</w:t>
      </w:r>
    </w:p>
    <w:p w:rsidR="00566991" w:rsidRPr="00C005DB" w:rsidRDefault="00566991" w:rsidP="00566991">
      <w:pPr>
        <w:spacing w:after="0" w:line="200" w:lineRule="exact"/>
      </w:pPr>
    </w:p>
    <w:p w:rsidR="00566991" w:rsidRPr="00702DB3" w:rsidRDefault="00566991" w:rsidP="00566991">
      <w:pPr>
        <w:spacing w:after="0" w:line="200" w:lineRule="exact"/>
        <w:rPr>
          <w:b/>
          <w:i/>
        </w:rPr>
      </w:pPr>
      <w:r w:rsidRPr="00702DB3">
        <w:rPr>
          <w:b/>
          <w:i/>
        </w:rPr>
        <w:t>Restricties</w:t>
      </w:r>
    </w:p>
    <w:p w:rsidR="00566991" w:rsidRDefault="00566991" w:rsidP="00566991">
      <w:pPr>
        <w:spacing w:after="0" w:line="200" w:lineRule="exact"/>
      </w:pPr>
      <w:r w:rsidRPr="00C005DB">
        <w:t>Deriv</w:t>
      </w:r>
      <w:r w:rsidR="00122958">
        <w:t xml:space="preserve">aten </w:t>
      </w:r>
      <w:r w:rsidRPr="00C005DB">
        <w:t xml:space="preserve">en </w:t>
      </w:r>
      <w:proofErr w:type="spellStart"/>
      <w:r w:rsidRPr="00C005DB">
        <w:t>debetstand</w:t>
      </w:r>
      <w:r w:rsidR="00A72F9B">
        <w:t>en</w:t>
      </w:r>
      <w:proofErr w:type="spellEnd"/>
      <w:r w:rsidRPr="00C005DB">
        <w:t xml:space="preserve"> zijn in het beleggingsbeleid uitgesloten.</w:t>
      </w:r>
    </w:p>
    <w:p w:rsidR="00566991" w:rsidRDefault="00566991" w:rsidP="00566991">
      <w:pPr>
        <w:spacing w:after="0" w:line="200" w:lineRule="exact"/>
      </w:pPr>
    </w:p>
    <w:p w:rsidR="00FA7AF8" w:rsidRPr="00702DB3" w:rsidRDefault="00566991" w:rsidP="00566991">
      <w:pPr>
        <w:spacing w:after="0" w:line="200" w:lineRule="exact"/>
        <w:rPr>
          <w:b/>
          <w:sz w:val="24"/>
          <w:szCs w:val="24"/>
        </w:rPr>
      </w:pPr>
      <w:r w:rsidRPr="00702DB3">
        <w:rPr>
          <w:b/>
          <w:sz w:val="24"/>
          <w:szCs w:val="24"/>
        </w:rPr>
        <w:t>1. Strategische asset allocatie</w:t>
      </w:r>
    </w:p>
    <w:p w:rsidR="00566991" w:rsidRPr="00C005DB" w:rsidRDefault="00566991" w:rsidP="00566991">
      <w:pPr>
        <w:spacing w:after="0" w:line="200" w:lineRule="exact"/>
      </w:pPr>
      <w:r w:rsidRPr="00C005DB">
        <w:t>De belangrijkste beslissing in het beleggingsproces is het vaststellen van de strategische</w:t>
      </w:r>
    </w:p>
    <w:p w:rsidR="00566991" w:rsidRPr="00C005DB" w:rsidRDefault="00566991" w:rsidP="00566991">
      <w:pPr>
        <w:spacing w:after="0" w:line="200" w:lineRule="exact"/>
      </w:pPr>
      <w:r w:rsidRPr="00C005DB">
        <w:t>asset-allocatie, zijnde de beoogde middelenverdeling voor de lange termijn. Deze bepaalt</w:t>
      </w:r>
    </w:p>
    <w:p w:rsidR="00566991" w:rsidRPr="00C005DB" w:rsidRDefault="00566991" w:rsidP="00566991">
      <w:pPr>
        <w:spacing w:after="0" w:line="200" w:lineRule="exact"/>
      </w:pPr>
      <w:r w:rsidRPr="00C005DB">
        <w:t>voor minimaal 80% het uiteindelijke rendement. Gegeven de uitgangspunten van de</w:t>
      </w:r>
    </w:p>
    <w:p w:rsidR="00566991" w:rsidRPr="00C005DB" w:rsidRDefault="00566991" w:rsidP="00566991">
      <w:pPr>
        <w:spacing w:after="0" w:line="200" w:lineRule="exact"/>
      </w:pPr>
      <w:r w:rsidRPr="00C005DB">
        <w:t>Stichting hanteert het bestuur de volgende verdeling van de belegde/te beleggen middelen:</w:t>
      </w:r>
    </w:p>
    <w:p w:rsidR="00566991" w:rsidRPr="00C005DB" w:rsidRDefault="00566991" w:rsidP="00566991">
      <w:pPr>
        <w:spacing w:after="0" w:line="200" w:lineRule="exact"/>
      </w:pPr>
      <w:r w:rsidRPr="00C005DB">
        <w:t>De strategische weging (=norm) beperkt zich tot de categorieën aandelen, obligaties en</w:t>
      </w:r>
    </w:p>
    <w:p w:rsidR="00566991" w:rsidRPr="00C005DB" w:rsidRDefault="00122958" w:rsidP="00566991">
      <w:pPr>
        <w:spacing w:after="0" w:line="200" w:lineRule="exact"/>
      </w:pPr>
      <w:r>
        <w:t>liquiditeiten</w:t>
      </w:r>
      <w:r w:rsidR="00566991" w:rsidRPr="00C005DB">
        <w:t>. De maximaal toegestane beleggingen per categorie zijn aangegeven</w:t>
      </w:r>
    </w:p>
    <w:p w:rsidR="00566991" w:rsidRDefault="00566991" w:rsidP="00566991">
      <w:pPr>
        <w:spacing w:after="0" w:line="200" w:lineRule="exact"/>
      </w:pPr>
      <w:r w:rsidRPr="00C005DB">
        <w:t xml:space="preserve">in een percentage van het totale </w:t>
      </w:r>
      <w:r w:rsidR="00122958">
        <w:t xml:space="preserve">belegbare </w:t>
      </w:r>
      <w:r w:rsidRPr="00C005DB">
        <w:t>vermogen.</w:t>
      </w:r>
    </w:p>
    <w:p w:rsidR="00702DB3" w:rsidRDefault="00702DB3" w:rsidP="00566991">
      <w:pPr>
        <w:spacing w:after="0" w:line="200" w:lineRule="exact"/>
      </w:pPr>
    </w:p>
    <w:p w:rsidR="00566991" w:rsidRPr="00702DB3" w:rsidRDefault="00566991" w:rsidP="00566991">
      <w:pPr>
        <w:spacing w:after="0" w:line="200" w:lineRule="exact"/>
        <w:rPr>
          <w:b/>
          <w:sz w:val="24"/>
          <w:szCs w:val="24"/>
        </w:rPr>
      </w:pPr>
      <w:r w:rsidRPr="00702DB3">
        <w:rPr>
          <w:b/>
          <w:sz w:val="24"/>
          <w:szCs w:val="24"/>
        </w:rPr>
        <w:t>2. Obligaties</w:t>
      </w:r>
    </w:p>
    <w:p w:rsidR="00566991" w:rsidRDefault="00566991" w:rsidP="00566991">
      <w:pPr>
        <w:spacing w:after="0" w:line="200" w:lineRule="exact"/>
      </w:pPr>
      <w:r w:rsidRPr="00C005DB">
        <w:t xml:space="preserve">• er wordt belegd in </w:t>
      </w:r>
      <w:r>
        <w:t xml:space="preserve">individuele </w:t>
      </w:r>
      <w:r w:rsidRPr="00C005DB">
        <w:t xml:space="preserve">obligaties </w:t>
      </w:r>
      <w:r>
        <w:t>en/of gespecialiseerde obligaties beleggingsfondsen</w:t>
      </w:r>
    </w:p>
    <w:p w:rsidR="00566991" w:rsidRPr="00C005DB" w:rsidRDefault="00566991" w:rsidP="00566991">
      <w:pPr>
        <w:spacing w:after="0" w:line="200" w:lineRule="exact"/>
      </w:pPr>
      <w:r w:rsidRPr="00C005DB">
        <w:t xml:space="preserve">• bij individuele titels mag het bedrag per debiteur niet meer bedragen dan </w:t>
      </w:r>
      <w:r>
        <w:t>10</w:t>
      </w:r>
      <w:r w:rsidRPr="00C005DB">
        <w:t>% van de</w:t>
      </w:r>
    </w:p>
    <w:p w:rsidR="00566991" w:rsidRPr="00C005DB" w:rsidRDefault="00566991" w:rsidP="00566991">
      <w:pPr>
        <w:spacing w:after="0" w:line="200" w:lineRule="exact"/>
      </w:pPr>
      <w:r w:rsidRPr="00C005DB">
        <w:t>totaal belegde middelen van de Stichting.</w:t>
      </w:r>
    </w:p>
    <w:p w:rsidR="00566991" w:rsidRPr="00C005DB" w:rsidRDefault="00566991" w:rsidP="00566991">
      <w:pPr>
        <w:spacing w:after="0" w:line="200" w:lineRule="exact"/>
      </w:pPr>
      <w:r w:rsidRPr="00C005DB">
        <w:t xml:space="preserve">• voor staatsleningen en/of </w:t>
      </w:r>
      <w:proofErr w:type="spellStart"/>
      <w:r w:rsidRPr="00C005DB">
        <w:t>overheidsgerelateerde</w:t>
      </w:r>
      <w:proofErr w:type="spellEnd"/>
      <w:r w:rsidRPr="00C005DB">
        <w:t xml:space="preserve"> leningen geldt deze beperking niet.</w:t>
      </w:r>
    </w:p>
    <w:p w:rsidR="00566991" w:rsidRPr="00C005DB" w:rsidRDefault="00566991" w:rsidP="00566991">
      <w:pPr>
        <w:spacing w:after="0" w:line="200" w:lineRule="exact"/>
      </w:pPr>
      <w:r w:rsidRPr="00C005DB">
        <w:t xml:space="preserve">• als benchmark voor deze beleggingscategorie geldt de </w:t>
      </w:r>
      <w:r>
        <w:t xml:space="preserve">Barclays Euro </w:t>
      </w:r>
      <w:proofErr w:type="spellStart"/>
      <w:r>
        <w:t>Aggregate</w:t>
      </w:r>
      <w:proofErr w:type="spellEnd"/>
      <w:r>
        <w:t xml:space="preserve"> Index</w:t>
      </w:r>
      <w:r w:rsidRPr="00C005DB">
        <w:t>.</w:t>
      </w:r>
    </w:p>
    <w:p w:rsidR="00566991" w:rsidRDefault="00566991" w:rsidP="00566991">
      <w:pPr>
        <w:spacing w:after="0" w:line="200" w:lineRule="exact"/>
      </w:pPr>
    </w:p>
    <w:p w:rsidR="00FA7AF8" w:rsidRPr="00702DB3" w:rsidRDefault="00566991" w:rsidP="00566991">
      <w:pPr>
        <w:spacing w:after="0" w:line="200" w:lineRule="exact"/>
        <w:rPr>
          <w:b/>
          <w:sz w:val="24"/>
          <w:szCs w:val="24"/>
        </w:rPr>
      </w:pPr>
      <w:bookmarkStart w:id="0" w:name="_GoBack"/>
      <w:bookmarkEnd w:id="0"/>
      <w:r w:rsidRPr="00702DB3">
        <w:rPr>
          <w:b/>
          <w:sz w:val="24"/>
          <w:szCs w:val="24"/>
        </w:rPr>
        <w:t>3. Aandelen</w:t>
      </w:r>
    </w:p>
    <w:p w:rsidR="00566991" w:rsidRDefault="00566991" w:rsidP="00566991">
      <w:pPr>
        <w:spacing w:after="0" w:line="200" w:lineRule="exact"/>
      </w:pPr>
      <w:r w:rsidRPr="00C005DB">
        <w:t xml:space="preserve">• de </w:t>
      </w:r>
      <w:r>
        <w:t>categorie aandelen wordt ingevuld met gespecialiseerde beleggingsfondsen.</w:t>
      </w:r>
    </w:p>
    <w:p w:rsidR="00566991" w:rsidRDefault="00566991" w:rsidP="00566991">
      <w:pPr>
        <w:spacing w:after="0" w:line="200" w:lineRule="exact"/>
      </w:pPr>
      <w:r>
        <w:t>Hierbij dient een brede spreiding naar zowel regio’s als sectoren in acht te worden genomen.</w:t>
      </w:r>
    </w:p>
    <w:p w:rsidR="00122958" w:rsidRPr="00C005DB" w:rsidRDefault="00122958" w:rsidP="00122958">
      <w:pPr>
        <w:spacing w:after="0" w:line="200" w:lineRule="exact"/>
      </w:pPr>
      <w:r w:rsidRPr="00C005DB">
        <w:t>• bij individuele titels mag het bedrag per aande</w:t>
      </w:r>
      <w:r>
        <w:t xml:space="preserve">el </w:t>
      </w:r>
      <w:r w:rsidRPr="00C005DB">
        <w:t xml:space="preserve">niet meer bedragen dan </w:t>
      </w:r>
      <w:r>
        <w:t>10</w:t>
      </w:r>
      <w:r w:rsidRPr="00C005DB">
        <w:t>% van</w:t>
      </w:r>
    </w:p>
    <w:p w:rsidR="00122958" w:rsidRPr="00C005DB" w:rsidRDefault="00122958" w:rsidP="00122958">
      <w:pPr>
        <w:spacing w:after="0" w:line="200" w:lineRule="exact"/>
      </w:pPr>
      <w:r w:rsidRPr="00C005DB">
        <w:t>de totaal belegde middelen van de Stichting.</w:t>
      </w:r>
    </w:p>
    <w:p w:rsidR="00122958" w:rsidRDefault="00122958" w:rsidP="00122958">
      <w:pPr>
        <w:spacing w:after="0" w:line="200" w:lineRule="exact"/>
      </w:pPr>
      <w:r w:rsidRPr="00C005DB">
        <w:t>• de benchmark voor deze beleggingscategorie</w:t>
      </w:r>
      <w:r w:rsidR="00A72F9B">
        <w:t xml:space="preserve"> geldt de </w:t>
      </w:r>
      <w:r w:rsidRPr="00C005DB">
        <w:t xml:space="preserve"> </w:t>
      </w:r>
      <w:r>
        <w:t>MSCI Wor</w:t>
      </w:r>
      <w:r w:rsidR="00814128">
        <w:t>l</w:t>
      </w:r>
      <w:r>
        <w:t>d index AC</w:t>
      </w:r>
      <w:r w:rsidRPr="00C005DB">
        <w:t>.</w:t>
      </w:r>
    </w:p>
    <w:p w:rsidR="00122958" w:rsidRPr="00C005DB" w:rsidRDefault="00122958" w:rsidP="00122958">
      <w:pPr>
        <w:spacing w:after="0" w:line="200" w:lineRule="exact"/>
      </w:pPr>
    </w:p>
    <w:p w:rsidR="00122958" w:rsidRDefault="00122958" w:rsidP="00566991">
      <w:pPr>
        <w:spacing w:after="0" w:line="200" w:lineRule="exact"/>
      </w:pPr>
    </w:p>
    <w:p w:rsidR="00566991" w:rsidRPr="00702DB3" w:rsidRDefault="00566991" w:rsidP="00566991">
      <w:pPr>
        <w:spacing w:after="0" w:line="200" w:lineRule="exact"/>
        <w:rPr>
          <w:b/>
          <w:sz w:val="24"/>
          <w:szCs w:val="24"/>
        </w:rPr>
      </w:pPr>
      <w:r w:rsidRPr="00702DB3">
        <w:rPr>
          <w:b/>
          <w:sz w:val="24"/>
          <w:szCs w:val="24"/>
        </w:rPr>
        <w:t xml:space="preserve">4. Beleggingscategorie </w:t>
      </w:r>
      <w:r w:rsidRPr="00702DB3">
        <w:rPr>
          <w:b/>
          <w:sz w:val="24"/>
          <w:szCs w:val="24"/>
        </w:rPr>
        <w:tab/>
        <w:t xml:space="preserve">Strategische middelenverdeling </w:t>
      </w:r>
      <w:r w:rsidRPr="00702DB3">
        <w:rPr>
          <w:b/>
          <w:sz w:val="24"/>
          <w:szCs w:val="24"/>
        </w:rPr>
        <w:tab/>
        <w:t>Tactische bandbreedtes</w:t>
      </w:r>
    </w:p>
    <w:p w:rsidR="00566991" w:rsidRPr="00C005DB" w:rsidRDefault="00566991" w:rsidP="00566991">
      <w:pPr>
        <w:spacing w:after="0" w:line="200" w:lineRule="exact"/>
      </w:pPr>
      <w:r w:rsidRPr="00C005D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958">
        <w:tab/>
      </w:r>
      <w:r w:rsidRPr="00C005DB">
        <w:t xml:space="preserve">Minimum </w:t>
      </w:r>
      <w:r>
        <w:tab/>
      </w:r>
      <w:r w:rsidRPr="00C005DB">
        <w:t>Maximum</w:t>
      </w:r>
      <w:r>
        <w:tab/>
      </w:r>
    </w:p>
    <w:p w:rsidR="00566991" w:rsidRPr="00C005DB" w:rsidRDefault="00566991" w:rsidP="00566991">
      <w:pPr>
        <w:spacing w:after="0" w:line="200" w:lineRule="exact"/>
      </w:pPr>
      <w:r>
        <w:t xml:space="preserve">     </w:t>
      </w:r>
      <w:r w:rsidRPr="00C005DB">
        <w:t xml:space="preserve">Obligaties </w:t>
      </w:r>
      <w:r>
        <w:tab/>
      </w:r>
      <w:r>
        <w:tab/>
      </w:r>
      <w:r>
        <w:tab/>
      </w:r>
      <w:r>
        <w:tab/>
        <w:t>5</w:t>
      </w:r>
      <w:r w:rsidRPr="00C005DB">
        <w:t xml:space="preserve">0% </w:t>
      </w:r>
      <w:r>
        <w:tab/>
      </w:r>
      <w:r>
        <w:tab/>
      </w:r>
      <w:r>
        <w:tab/>
      </w:r>
      <w:r w:rsidR="00122958">
        <w:tab/>
      </w:r>
      <w:r>
        <w:t>4</w:t>
      </w:r>
      <w:r w:rsidRPr="00C005DB">
        <w:t xml:space="preserve">0% </w:t>
      </w:r>
      <w:r>
        <w:tab/>
      </w:r>
      <w:r>
        <w:tab/>
        <w:t>6</w:t>
      </w:r>
      <w:r w:rsidRPr="00C005DB">
        <w:t>0%</w:t>
      </w:r>
    </w:p>
    <w:p w:rsidR="00566991" w:rsidRDefault="00566991" w:rsidP="00566991">
      <w:pPr>
        <w:spacing w:after="0" w:line="200" w:lineRule="exact"/>
      </w:pPr>
      <w:r>
        <w:t xml:space="preserve">     A</w:t>
      </w:r>
      <w:r w:rsidRPr="00C005DB">
        <w:t xml:space="preserve">andelen </w:t>
      </w:r>
      <w:r>
        <w:tab/>
      </w:r>
      <w:r>
        <w:tab/>
      </w:r>
      <w:r>
        <w:tab/>
      </w:r>
      <w:r>
        <w:tab/>
        <w:t>5</w:t>
      </w:r>
      <w:r w:rsidRPr="00C005DB">
        <w:t xml:space="preserve">0% </w:t>
      </w:r>
      <w:r>
        <w:tab/>
      </w:r>
      <w:r>
        <w:tab/>
      </w:r>
      <w:r>
        <w:tab/>
      </w:r>
      <w:r w:rsidR="00122958">
        <w:tab/>
      </w:r>
      <w:r>
        <w:t>4</w:t>
      </w:r>
      <w:r w:rsidRPr="00C005DB">
        <w:t xml:space="preserve">0% </w:t>
      </w:r>
      <w:r>
        <w:tab/>
      </w:r>
      <w:r>
        <w:tab/>
        <w:t>6</w:t>
      </w:r>
      <w:r w:rsidRPr="00C005DB">
        <w:t>0%</w:t>
      </w:r>
    </w:p>
    <w:p w:rsidR="00566991" w:rsidRPr="00C005DB" w:rsidRDefault="00566991" w:rsidP="00566991">
      <w:pPr>
        <w:spacing w:after="0" w:line="200" w:lineRule="exact"/>
      </w:pPr>
      <w:r>
        <w:t xml:space="preserve">     </w:t>
      </w:r>
      <w:r w:rsidRPr="00C005DB">
        <w:t xml:space="preserve">Liquiditeiten </w:t>
      </w:r>
      <w:r>
        <w:tab/>
      </w:r>
      <w:r>
        <w:tab/>
      </w:r>
      <w:r>
        <w:tab/>
      </w:r>
      <w:r w:rsidRPr="00C005DB">
        <w:t xml:space="preserve">0% </w:t>
      </w:r>
      <w:r>
        <w:tab/>
      </w:r>
      <w:r>
        <w:tab/>
      </w:r>
      <w:r>
        <w:tab/>
      </w:r>
      <w:r w:rsidR="00122958">
        <w:tab/>
      </w:r>
      <w:r w:rsidRPr="00C005DB">
        <w:t xml:space="preserve">0% </w:t>
      </w:r>
      <w:r>
        <w:tab/>
      </w:r>
      <w:r>
        <w:tab/>
      </w:r>
      <w:r w:rsidRPr="00C005DB">
        <w:t>10%</w:t>
      </w:r>
    </w:p>
    <w:p w:rsidR="00566991" w:rsidRDefault="00566991" w:rsidP="00566991">
      <w:pPr>
        <w:spacing w:after="0" w:line="200" w:lineRule="exact"/>
      </w:pPr>
    </w:p>
    <w:p w:rsidR="00566991" w:rsidRDefault="00566991" w:rsidP="00566991">
      <w:pPr>
        <w:spacing w:after="0" w:line="200" w:lineRule="exact"/>
      </w:pPr>
    </w:p>
    <w:p w:rsidR="00702DB3" w:rsidRPr="00702DB3" w:rsidRDefault="00566991" w:rsidP="00566991">
      <w:pPr>
        <w:spacing w:after="0" w:line="200" w:lineRule="exact"/>
        <w:rPr>
          <w:b/>
        </w:rPr>
      </w:pPr>
      <w:r w:rsidRPr="00702DB3">
        <w:rPr>
          <w:b/>
        </w:rPr>
        <w:t>5. Liquiditeiten</w:t>
      </w:r>
    </w:p>
    <w:p w:rsidR="00566991" w:rsidRPr="00C005DB" w:rsidRDefault="00566991" w:rsidP="00566991">
      <w:pPr>
        <w:spacing w:after="0" w:line="200" w:lineRule="exact"/>
      </w:pPr>
      <w:r w:rsidRPr="00C005DB">
        <w:t>Het aanhouden van liquiditeiten is toegestaan tot een maximum van 10% van het totaal</w:t>
      </w:r>
    </w:p>
    <w:p w:rsidR="00566991" w:rsidRPr="00C005DB" w:rsidRDefault="00566991" w:rsidP="00566991">
      <w:pPr>
        <w:spacing w:after="0" w:line="200" w:lineRule="exact"/>
      </w:pPr>
      <w:r w:rsidRPr="00C005DB">
        <w:t>belegde vermogen van de Stichting. Voor liquide middelen geldt dat</w:t>
      </w:r>
    </w:p>
    <w:p w:rsidR="00566991" w:rsidRPr="00C005DB" w:rsidRDefault="00566991" w:rsidP="00566991">
      <w:pPr>
        <w:spacing w:after="0" w:line="200" w:lineRule="exact"/>
      </w:pPr>
      <w:r w:rsidRPr="00C005DB">
        <w:t>• de rentevergoeding marktconform dient te zijn.</w:t>
      </w:r>
    </w:p>
    <w:p w:rsidR="00566991" w:rsidRPr="00C005DB" w:rsidRDefault="00566991" w:rsidP="00566991">
      <w:pPr>
        <w:spacing w:after="0" w:line="200" w:lineRule="exact"/>
      </w:pPr>
      <w:r w:rsidRPr="00C005DB">
        <w:t>• deze uitsluitend bij financiële instellingen met een minimale kredietwaardigheid van</w:t>
      </w:r>
    </w:p>
    <w:p w:rsidR="00566991" w:rsidRDefault="00566991" w:rsidP="00566991">
      <w:pPr>
        <w:spacing w:after="0" w:line="200" w:lineRule="exact"/>
      </w:pPr>
      <w:r w:rsidRPr="00C005DB">
        <w:t>A1 of hoger dienen te worden uitgezet.</w:t>
      </w:r>
    </w:p>
    <w:p w:rsidR="00566991" w:rsidRPr="00C005DB" w:rsidRDefault="00566991" w:rsidP="00566991">
      <w:pPr>
        <w:spacing w:after="0" w:line="200" w:lineRule="exact"/>
      </w:pPr>
    </w:p>
    <w:p w:rsidR="00583710" w:rsidRDefault="00583710" w:rsidP="00566991">
      <w:pPr>
        <w:spacing w:after="0" w:line="200" w:lineRule="exact"/>
        <w:rPr>
          <w:b/>
        </w:rPr>
      </w:pPr>
      <w:r>
        <w:rPr>
          <w:b/>
        </w:rPr>
        <w:t>6. Maatschappelijk verantwoord beleggen</w:t>
      </w:r>
    </w:p>
    <w:p w:rsidR="00583710" w:rsidRPr="00583710" w:rsidRDefault="00583710" w:rsidP="00566991">
      <w:pPr>
        <w:spacing w:after="0" w:line="200" w:lineRule="exact"/>
      </w:pPr>
      <w:r w:rsidRPr="00583710">
        <w:t>Het bestuur wenst het vermogen te beleggen in maatschappelijk verantwoorde beleggingen. Hierbij wordt (gedurende de looptijd van dit beleggingsplan) het Maatschappelijk Verantwoorde Beleggingsbeleid van de Rabobank gevolgd.</w:t>
      </w:r>
    </w:p>
    <w:p w:rsidR="00583710" w:rsidRDefault="00583710" w:rsidP="00566991">
      <w:pPr>
        <w:spacing w:after="0" w:line="200" w:lineRule="exact"/>
        <w:rPr>
          <w:b/>
        </w:rPr>
      </w:pPr>
    </w:p>
    <w:p w:rsidR="00702DB3" w:rsidRPr="00702DB3" w:rsidRDefault="00583710" w:rsidP="00566991">
      <w:pPr>
        <w:spacing w:after="0" w:line="200" w:lineRule="exact"/>
        <w:rPr>
          <w:b/>
        </w:rPr>
      </w:pPr>
      <w:r>
        <w:rPr>
          <w:b/>
        </w:rPr>
        <w:t>7</w:t>
      </w:r>
      <w:r w:rsidR="00566991" w:rsidRPr="00702DB3">
        <w:rPr>
          <w:b/>
        </w:rPr>
        <w:t>. Herstellen afwijkingen bandbreedtes</w:t>
      </w:r>
    </w:p>
    <w:p w:rsidR="00566991" w:rsidRPr="00C005DB" w:rsidRDefault="00566991" w:rsidP="00566991">
      <w:pPr>
        <w:spacing w:after="0" w:line="200" w:lineRule="exact"/>
      </w:pPr>
      <w:r w:rsidRPr="00C005DB">
        <w:t>Indien de in dit beleggingsplan vastgestelde bandbreedtes worden doorbroken, dienen deze</w:t>
      </w:r>
    </w:p>
    <w:p w:rsidR="00566991" w:rsidRDefault="00566991" w:rsidP="00566991">
      <w:pPr>
        <w:spacing w:after="0" w:line="200" w:lineRule="exact"/>
      </w:pPr>
      <w:r w:rsidRPr="00C005DB">
        <w:t>binnen een maand te worden hersteld.</w:t>
      </w:r>
    </w:p>
    <w:p w:rsidR="00566991" w:rsidRPr="00C005DB" w:rsidRDefault="00566991" w:rsidP="00566991">
      <w:pPr>
        <w:spacing w:after="0" w:line="200" w:lineRule="exact"/>
      </w:pPr>
    </w:p>
    <w:p w:rsidR="00702DB3" w:rsidRPr="00702DB3" w:rsidRDefault="00583710" w:rsidP="00566991">
      <w:pPr>
        <w:spacing w:after="0" w:line="200" w:lineRule="exact"/>
        <w:rPr>
          <w:b/>
        </w:rPr>
      </w:pPr>
      <w:r>
        <w:rPr>
          <w:b/>
        </w:rPr>
        <w:t>8</w:t>
      </w:r>
      <w:r w:rsidR="00566991" w:rsidRPr="00702DB3">
        <w:rPr>
          <w:b/>
        </w:rPr>
        <w:t>. Vaststelling en geldigheidsduur</w:t>
      </w:r>
    </w:p>
    <w:p w:rsidR="00566991" w:rsidRPr="00C005DB" w:rsidRDefault="00566991" w:rsidP="00566991">
      <w:pPr>
        <w:spacing w:after="0" w:line="200" w:lineRule="exact"/>
      </w:pPr>
      <w:r w:rsidRPr="00C005DB">
        <w:t>Dit beleggingsplan is vastgesteld in d</w:t>
      </w:r>
      <w:r w:rsidR="00C84E62">
        <w:t>e bestuursvergadering van 29 mei 2018</w:t>
      </w:r>
      <w:r w:rsidRPr="00C005DB">
        <w:t xml:space="preserve"> en is voor</w:t>
      </w:r>
    </w:p>
    <w:p w:rsidR="00DD4D17" w:rsidRDefault="00566991" w:rsidP="002210B3">
      <w:pPr>
        <w:spacing w:after="0" w:line="200" w:lineRule="exact"/>
      </w:pPr>
      <w:r w:rsidRPr="00C005DB">
        <w:t>onbepaalde tijd van kr</w:t>
      </w:r>
      <w:r w:rsidR="00C84E62">
        <w:t>acht met ingang van 30 mei 2018.</w:t>
      </w:r>
    </w:p>
    <w:sectPr w:rsidR="00DD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 B5 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1"/>
    <w:rsid w:val="00122958"/>
    <w:rsid w:val="002210B3"/>
    <w:rsid w:val="00245112"/>
    <w:rsid w:val="00566991"/>
    <w:rsid w:val="00583710"/>
    <w:rsid w:val="00702DB3"/>
    <w:rsid w:val="00814128"/>
    <w:rsid w:val="00A72F9B"/>
    <w:rsid w:val="00AB66C8"/>
    <w:rsid w:val="00AD673A"/>
    <w:rsid w:val="00AE7D35"/>
    <w:rsid w:val="00C243C8"/>
    <w:rsid w:val="00C84E62"/>
    <w:rsid w:val="00DD4D17"/>
    <w:rsid w:val="00F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EC"/>
  <w15:docId w15:val="{5CC685F2-2C94-45A7-9028-56D172FA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 B5 Plain" w:eastAsiaTheme="minorHAnsi" w:hAnsi="TheSans B5 Plain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6991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7A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Rhenen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Wortelboer</dc:creator>
  <cp:lastModifiedBy>Karin Wortelboer</cp:lastModifiedBy>
  <cp:revision>2</cp:revision>
  <dcterms:created xsi:type="dcterms:W3CDTF">2018-08-10T12:14:00Z</dcterms:created>
  <dcterms:modified xsi:type="dcterms:W3CDTF">2018-08-10T12:14:00Z</dcterms:modified>
</cp:coreProperties>
</file>